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DB1" w:rsidRPr="00BA2A5E" w:rsidRDefault="00B85DB1" w:rsidP="00B85DB1">
      <w:pPr>
        <w:pStyle w:val="Heading1"/>
        <w:numPr>
          <w:ilvl w:val="0"/>
          <w:numId w:val="0"/>
        </w:numPr>
        <w:spacing w:before="60" w:after="60"/>
        <w:rPr>
          <w:b/>
          <w:bCs/>
          <w:sz w:val="22"/>
          <w:szCs w:val="22"/>
        </w:rPr>
      </w:pPr>
      <w:r w:rsidRPr="00BA2A5E">
        <w:rPr>
          <w:b/>
          <w:bCs/>
          <w:sz w:val="22"/>
          <w:szCs w:val="22"/>
        </w:rPr>
        <w:t>UZŅĒMUMA LĪGUMS</w:t>
      </w:r>
    </w:p>
    <w:p w:rsidR="00B85DB1" w:rsidRPr="00BA2A5E" w:rsidRDefault="00B85DB1" w:rsidP="00B85DB1">
      <w:pPr>
        <w:pStyle w:val="Header"/>
        <w:tabs>
          <w:tab w:val="clear" w:pos="4153"/>
          <w:tab w:val="clear" w:pos="8306"/>
          <w:tab w:val="left" w:pos="5954"/>
        </w:tabs>
        <w:spacing w:before="60" w:after="60"/>
        <w:rPr>
          <w:sz w:val="22"/>
          <w:szCs w:val="22"/>
        </w:rPr>
      </w:pPr>
    </w:p>
    <w:p w:rsidR="00B85DB1" w:rsidRPr="00BA2A5E" w:rsidRDefault="00905875" w:rsidP="00B85DB1">
      <w:pPr>
        <w:pStyle w:val="Header"/>
        <w:tabs>
          <w:tab w:val="clear" w:pos="4153"/>
          <w:tab w:val="clear" w:pos="8306"/>
          <w:tab w:val="left" w:pos="5954"/>
        </w:tabs>
        <w:spacing w:before="60" w:after="60"/>
        <w:rPr>
          <w:sz w:val="22"/>
          <w:szCs w:val="22"/>
        </w:rPr>
      </w:pPr>
      <w:r>
        <w:rPr>
          <w:sz w:val="22"/>
          <w:szCs w:val="22"/>
        </w:rPr>
        <w:t>Daugavpilī,  2015.gada 23</w:t>
      </w:r>
      <w:r w:rsidR="00B85DB1" w:rsidRPr="00BA2A5E">
        <w:rPr>
          <w:sz w:val="22"/>
          <w:szCs w:val="22"/>
        </w:rPr>
        <w:t>.</w:t>
      </w:r>
      <w:r>
        <w:rPr>
          <w:sz w:val="22"/>
          <w:szCs w:val="22"/>
        </w:rPr>
        <w:t>martā</w:t>
      </w:r>
      <w:bookmarkStart w:id="0" w:name="_GoBack"/>
      <w:bookmarkEnd w:id="0"/>
    </w:p>
    <w:p w:rsidR="00B85DB1" w:rsidRPr="00BA2A5E" w:rsidRDefault="00B85DB1" w:rsidP="00B85DB1">
      <w:pPr>
        <w:pStyle w:val="Header"/>
        <w:tabs>
          <w:tab w:val="clear" w:pos="4153"/>
          <w:tab w:val="clear" w:pos="8306"/>
          <w:tab w:val="left" w:pos="5954"/>
        </w:tabs>
        <w:spacing w:before="60" w:after="60"/>
        <w:rPr>
          <w:sz w:val="22"/>
          <w:szCs w:val="22"/>
        </w:rPr>
      </w:pPr>
    </w:p>
    <w:p w:rsidR="00B85DB1" w:rsidRPr="00BA2A5E" w:rsidRDefault="00B85DB1" w:rsidP="00E11CD8">
      <w:pPr>
        <w:pStyle w:val="Picture"/>
        <w:keepNext w:val="0"/>
        <w:widowControl/>
        <w:tabs>
          <w:tab w:val="left" w:leader="underscore" w:pos="7371"/>
        </w:tabs>
        <w:spacing w:after="120"/>
        <w:ind w:firstLine="482"/>
        <w:jc w:val="both"/>
        <w:rPr>
          <w:sz w:val="22"/>
          <w:szCs w:val="22"/>
          <w:lang w:val="lv-LV"/>
        </w:rPr>
      </w:pPr>
      <w:r w:rsidRPr="00BA2A5E">
        <w:rPr>
          <w:b/>
          <w:bCs/>
          <w:sz w:val="22"/>
          <w:szCs w:val="22"/>
          <w:lang w:val="lv-LV"/>
        </w:rPr>
        <w:t>Daugavpils pilsētas dome</w:t>
      </w:r>
      <w:r w:rsidRPr="00BA2A5E">
        <w:rPr>
          <w:sz w:val="22"/>
          <w:szCs w:val="22"/>
          <w:lang w:val="lv-LV"/>
        </w:rPr>
        <w:t>, reģ.Nr.90000077325, juridiskā adrese K.Valdemāra iel</w:t>
      </w:r>
      <w:r w:rsidR="001C4352">
        <w:rPr>
          <w:sz w:val="22"/>
          <w:szCs w:val="22"/>
          <w:lang w:val="lv-LV"/>
        </w:rPr>
        <w:t>a 1, Daugavpils</w:t>
      </w:r>
      <w:r w:rsidRPr="00BA2A5E">
        <w:rPr>
          <w:sz w:val="22"/>
          <w:szCs w:val="22"/>
          <w:lang w:val="lv-LV"/>
        </w:rPr>
        <w:t xml:space="preserve">, Domes izpilddirektores </w:t>
      </w:r>
      <w:r w:rsidRPr="00BA2A5E">
        <w:rPr>
          <w:b/>
          <w:sz w:val="22"/>
          <w:szCs w:val="22"/>
          <w:lang w:val="lv-LV"/>
        </w:rPr>
        <w:t>Ingas Goldbergas</w:t>
      </w:r>
      <w:r w:rsidRPr="00BA2A5E">
        <w:rPr>
          <w:sz w:val="22"/>
          <w:szCs w:val="22"/>
          <w:lang w:val="lv-LV"/>
        </w:rPr>
        <w:t xml:space="preserve"> personā, kura rīkojas pamatojoties uz Daugavpils pilsētas domes 2005.gada 11.augusta saistošo noteikumu Nr.5 „Daugavpils pilsētas pašvaldības nolikums” 25.</w:t>
      </w:r>
      <w:r w:rsidRPr="00BA2A5E">
        <w:rPr>
          <w:sz w:val="22"/>
          <w:szCs w:val="22"/>
          <w:vertAlign w:val="superscript"/>
          <w:lang w:val="lv-LV"/>
        </w:rPr>
        <w:t>1</w:t>
      </w:r>
      <w:r w:rsidRPr="00BA2A5E">
        <w:rPr>
          <w:sz w:val="22"/>
          <w:szCs w:val="22"/>
          <w:lang w:val="lv-LV"/>
        </w:rPr>
        <w:t xml:space="preserve"> punkta pamata, turpmāk tekstā  „Pasūtītājs”, no vienas puses, un </w:t>
      </w:r>
    </w:p>
    <w:p w:rsidR="00B85DB1" w:rsidRPr="00BA2A5E" w:rsidRDefault="00B85DB1" w:rsidP="00E11CD8">
      <w:pPr>
        <w:spacing w:after="120"/>
        <w:ind w:firstLine="513"/>
        <w:jc w:val="both"/>
        <w:rPr>
          <w:sz w:val="22"/>
          <w:szCs w:val="22"/>
        </w:rPr>
      </w:pPr>
      <w:r w:rsidRPr="00BA2A5E">
        <w:rPr>
          <w:b/>
          <w:bCs/>
          <w:sz w:val="22"/>
          <w:szCs w:val="22"/>
          <w:lang w:eastAsia="en-US"/>
        </w:rPr>
        <w:t>SIA „ZZ Dats”</w:t>
      </w:r>
      <w:r w:rsidRPr="00BA2A5E">
        <w:rPr>
          <w:sz w:val="22"/>
          <w:szCs w:val="22"/>
          <w:lang w:eastAsia="en-US"/>
        </w:rPr>
        <w:t>, reģ.Nr. LV40003278467, juridiskā adrese Elizabetes iel</w:t>
      </w:r>
      <w:r w:rsidR="001C4352">
        <w:rPr>
          <w:sz w:val="22"/>
          <w:szCs w:val="22"/>
          <w:lang w:eastAsia="en-US"/>
        </w:rPr>
        <w:t>a</w:t>
      </w:r>
      <w:r w:rsidRPr="00BA2A5E">
        <w:rPr>
          <w:sz w:val="22"/>
          <w:szCs w:val="22"/>
          <w:lang w:eastAsia="en-US"/>
        </w:rPr>
        <w:t xml:space="preserve"> 41/43, Rīg</w:t>
      </w:r>
      <w:r w:rsidR="00924795">
        <w:rPr>
          <w:sz w:val="22"/>
          <w:szCs w:val="22"/>
          <w:lang w:eastAsia="en-US"/>
        </w:rPr>
        <w:t>a</w:t>
      </w:r>
      <w:r w:rsidRPr="00BA2A5E">
        <w:rPr>
          <w:sz w:val="22"/>
          <w:szCs w:val="22"/>
          <w:lang w:eastAsia="en-US"/>
        </w:rPr>
        <w:t xml:space="preserve">,  kuras vārdā saskaņā ar sabiedrības statūtiem rīkojas tās valdes loceklis </w:t>
      </w:r>
      <w:r w:rsidRPr="00BA2A5E">
        <w:rPr>
          <w:b/>
          <w:sz w:val="22"/>
          <w:szCs w:val="22"/>
          <w:lang w:eastAsia="en-US"/>
        </w:rPr>
        <w:t>Māris Ziema</w:t>
      </w:r>
      <w:r w:rsidRPr="00BA2A5E">
        <w:rPr>
          <w:sz w:val="22"/>
          <w:szCs w:val="22"/>
          <w:lang w:eastAsia="en-US"/>
        </w:rPr>
        <w:t xml:space="preserve">, turpmāk tekstā "Izpildītājs", no otras puses, </w:t>
      </w:r>
      <w:r w:rsidRPr="00BA2A5E">
        <w:rPr>
          <w:sz w:val="22"/>
          <w:szCs w:val="22"/>
        </w:rPr>
        <w:t xml:space="preserve"> </w:t>
      </w:r>
    </w:p>
    <w:p w:rsidR="00B85DB1" w:rsidRPr="00BA2A5E" w:rsidRDefault="00B85DB1" w:rsidP="00E11CD8">
      <w:pPr>
        <w:spacing w:after="120"/>
        <w:ind w:firstLine="513"/>
        <w:jc w:val="both"/>
        <w:rPr>
          <w:sz w:val="22"/>
          <w:szCs w:val="22"/>
        </w:rPr>
      </w:pPr>
      <w:r w:rsidRPr="00BA2A5E">
        <w:rPr>
          <w:sz w:val="22"/>
          <w:szCs w:val="22"/>
        </w:rPr>
        <w:t xml:space="preserve">ņemot vērā </w:t>
      </w:r>
      <w:r w:rsidR="00924795">
        <w:rPr>
          <w:sz w:val="22"/>
          <w:szCs w:val="22"/>
        </w:rPr>
        <w:t>Daugavpils pilsētas domes i</w:t>
      </w:r>
      <w:r w:rsidRPr="00BA2A5E">
        <w:rPr>
          <w:sz w:val="22"/>
          <w:szCs w:val="22"/>
        </w:rPr>
        <w:t>epirkumu komisijas 2015.gada 20.marta lēmumu iepirkumā „SIA „ZZ DATS” izstrādātās vienotas resursu vadības un budžeta plānošanas sistēmas G-VEDIS uzturēšana Daugavpils pilsētas domē 2015.gadā</w:t>
      </w:r>
      <w:r w:rsidRPr="00BA2A5E">
        <w:rPr>
          <w:color w:val="000000"/>
          <w:sz w:val="22"/>
          <w:szCs w:val="22"/>
        </w:rPr>
        <w:t>”</w:t>
      </w:r>
      <w:r w:rsidRPr="00BA2A5E">
        <w:rPr>
          <w:b/>
          <w:color w:val="000000"/>
          <w:sz w:val="22"/>
          <w:szCs w:val="22"/>
        </w:rPr>
        <w:t xml:space="preserve"> </w:t>
      </w:r>
      <w:r w:rsidRPr="00BA2A5E">
        <w:rPr>
          <w:sz w:val="22"/>
          <w:szCs w:val="22"/>
        </w:rPr>
        <w:t>(turpmāk – konkurss) noslēdza savā starpā šāda satura līgumu (turpmāk – Līgums):</w:t>
      </w:r>
    </w:p>
    <w:p w:rsidR="00B85DB1" w:rsidRPr="00BA2A5E" w:rsidRDefault="00B85DB1" w:rsidP="00B85DB1">
      <w:pPr>
        <w:pStyle w:val="Picture"/>
        <w:keepNext w:val="0"/>
        <w:widowControl/>
        <w:tabs>
          <w:tab w:val="left" w:leader="underscore" w:pos="7371"/>
        </w:tabs>
        <w:spacing w:before="100" w:beforeAutospacing="1" w:after="100" w:afterAutospacing="1"/>
        <w:ind w:firstLine="482"/>
        <w:rPr>
          <w:b/>
          <w:sz w:val="22"/>
          <w:szCs w:val="22"/>
          <w:lang w:val="lv-LV"/>
        </w:rPr>
      </w:pPr>
      <w:r w:rsidRPr="00BA2A5E">
        <w:rPr>
          <w:b/>
          <w:sz w:val="22"/>
          <w:szCs w:val="22"/>
          <w:lang w:val="lv-LV"/>
        </w:rPr>
        <w:t>I. Līguma priekšmets</w:t>
      </w:r>
    </w:p>
    <w:p w:rsidR="00B85DB1" w:rsidRPr="00BA2A5E" w:rsidRDefault="00B85DB1" w:rsidP="00B85DB1">
      <w:pPr>
        <w:pStyle w:val="BodyText2"/>
        <w:widowControl/>
        <w:numPr>
          <w:ilvl w:val="0"/>
          <w:numId w:val="2"/>
        </w:numPr>
        <w:tabs>
          <w:tab w:val="clear" w:pos="1080"/>
          <w:tab w:val="left" w:pos="0"/>
        </w:tabs>
        <w:spacing w:before="60" w:after="60"/>
        <w:ind w:left="284" w:hanging="284"/>
        <w:rPr>
          <w:sz w:val="22"/>
          <w:szCs w:val="22"/>
        </w:rPr>
      </w:pPr>
      <w:r w:rsidRPr="00BA2A5E">
        <w:rPr>
          <w:sz w:val="22"/>
          <w:szCs w:val="22"/>
        </w:rPr>
        <w:t>Pasūtītājs uzdod un Izpildītājs apņemas atbilstoši konkursam iesniegtajam tehniskajam piedāvājumam veikt konsultāciju un informācijas sniegšanu saistībā ar šādām programmām (turpmāk -  Programmas):</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vienotu resursu vadības un budžeta plānošanas sistēmu G-VEDIS;</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personāla uzskaites sistēmu KADRI;</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pirmsskolas izglītības iestāžu apmeklējuma moduli vienotajā darbinieka darba vidē </w:t>
      </w:r>
      <w:hyperlink r:id="rId7" w:history="1">
        <w:r w:rsidRPr="00BA2A5E">
          <w:rPr>
            <w:sz w:val="22"/>
            <w:szCs w:val="22"/>
          </w:rPr>
          <w:t>www.visvaris.lv</w:t>
        </w:r>
      </w:hyperlink>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pašvaldības izrakstīto rēķinu apmaksas moduli e-pakalpojumu portālā </w:t>
      </w:r>
      <w:hyperlink r:id="rId8" w:history="1">
        <w:r w:rsidRPr="00BA2A5E">
          <w:rPr>
            <w:sz w:val="22"/>
            <w:szCs w:val="22"/>
          </w:rPr>
          <w:t>www.epakalpojumi.lv</w:t>
        </w:r>
      </w:hyperlink>
      <w:r w:rsidRPr="00BA2A5E">
        <w:rPr>
          <w:sz w:val="22"/>
          <w:szCs w:val="22"/>
        </w:rPr>
        <w:t>.</w:t>
      </w:r>
    </w:p>
    <w:p w:rsidR="00B85DB1" w:rsidRPr="00BA2A5E" w:rsidRDefault="00B85DB1" w:rsidP="00B85DB1">
      <w:pPr>
        <w:pStyle w:val="BodyText2"/>
        <w:widowControl/>
        <w:tabs>
          <w:tab w:val="clear" w:pos="1080"/>
          <w:tab w:val="left" w:pos="0"/>
        </w:tabs>
        <w:spacing w:before="240" w:after="240"/>
        <w:jc w:val="center"/>
        <w:rPr>
          <w:b/>
          <w:sz w:val="22"/>
          <w:szCs w:val="22"/>
        </w:rPr>
      </w:pPr>
      <w:r w:rsidRPr="00BA2A5E">
        <w:rPr>
          <w:b/>
          <w:sz w:val="22"/>
          <w:szCs w:val="22"/>
        </w:rPr>
        <w:t>II. Līguma darbības laiks</w:t>
      </w:r>
    </w:p>
    <w:p w:rsidR="00B85DB1" w:rsidRPr="00BA2A5E" w:rsidRDefault="00B85DB1" w:rsidP="00B85DB1">
      <w:pPr>
        <w:pStyle w:val="BodyText2"/>
        <w:widowControl/>
        <w:numPr>
          <w:ilvl w:val="0"/>
          <w:numId w:val="2"/>
        </w:numPr>
        <w:tabs>
          <w:tab w:val="clear" w:pos="1080"/>
          <w:tab w:val="left" w:pos="0"/>
        </w:tabs>
        <w:spacing w:before="60" w:after="60"/>
        <w:rPr>
          <w:sz w:val="22"/>
          <w:szCs w:val="22"/>
        </w:rPr>
      </w:pPr>
      <w:r w:rsidRPr="00BA2A5E">
        <w:rPr>
          <w:sz w:val="22"/>
          <w:szCs w:val="22"/>
        </w:rPr>
        <w:t>Līgums stājas spēkā 2015.gada 1.aprīlī un ir spēkā līdz  2015.gada 31.decembrim.</w:t>
      </w:r>
    </w:p>
    <w:p w:rsidR="00B85DB1" w:rsidRPr="00BA2A5E" w:rsidRDefault="00B85DB1" w:rsidP="00B85DB1">
      <w:pPr>
        <w:pStyle w:val="BodyText2"/>
        <w:widowControl/>
        <w:tabs>
          <w:tab w:val="clear" w:pos="1080"/>
          <w:tab w:val="left" w:pos="0"/>
        </w:tabs>
        <w:spacing w:before="240" w:after="240"/>
        <w:jc w:val="center"/>
        <w:rPr>
          <w:b/>
          <w:sz w:val="22"/>
          <w:szCs w:val="22"/>
        </w:rPr>
      </w:pPr>
      <w:r w:rsidRPr="00BA2A5E">
        <w:rPr>
          <w:b/>
          <w:sz w:val="22"/>
          <w:szCs w:val="22"/>
        </w:rPr>
        <w:t>III. Pušu saistības</w:t>
      </w:r>
    </w:p>
    <w:p w:rsidR="00B85DB1" w:rsidRPr="00BA2A5E" w:rsidRDefault="00B85DB1" w:rsidP="00B85DB1">
      <w:pPr>
        <w:pStyle w:val="BodyText2"/>
        <w:widowControl/>
        <w:numPr>
          <w:ilvl w:val="0"/>
          <w:numId w:val="2"/>
        </w:numPr>
        <w:tabs>
          <w:tab w:val="clear" w:pos="1080"/>
          <w:tab w:val="left" w:pos="0"/>
        </w:tabs>
        <w:spacing w:before="60" w:after="60"/>
        <w:rPr>
          <w:sz w:val="22"/>
          <w:szCs w:val="22"/>
        </w:rPr>
      </w:pPr>
      <w:r w:rsidRPr="00BA2A5E">
        <w:rPr>
          <w:sz w:val="22"/>
          <w:szCs w:val="22"/>
        </w:rPr>
        <w:t>Izpildītājs apņemas veikt šādus ar Programmu lietošanu saistītus konsultāciju pakalpojumus:</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Programmu jaunu versiju un lietotāju instrukciju, ja tādas ir izstrādātas un pēc tādām ir nepieciešamība, nosūtīšanu Pasūtītājam un pēc tā pieprasījuma vai automātiski, izmantojot interneta tīklu;</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telefonisku vai e-pasta konsultācijas par Programmu lietošanu un uzstādīšanu ik darba dienu no plkst. 9.00 līdz 17.00, </w:t>
      </w:r>
      <w:r w:rsidR="005713E7" w:rsidRPr="00BA2A5E">
        <w:rPr>
          <w:sz w:val="22"/>
          <w:szCs w:val="22"/>
          <w:lang w:eastAsia="en-US"/>
        </w:rPr>
        <w:t xml:space="preserve">pa telefonu 7333600, vai e-pastu: </w:t>
      </w:r>
      <w:hyperlink r:id="rId9" w:history="1">
        <w:r w:rsidR="005713E7" w:rsidRPr="00BA2A5E">
          <w:rPr>
            <w:color w:val="0000FF"/>
            <w:sz w:val="22"/>
            <w:szCs w:val="22"/>
            <w:u w:val="single"/>
            <w:lang w:eastAsia="en-US"/>
          </w:rPr>
          <w:t>nino@zzdats.lv</w:t>
        </w:r>
      </w:hyperlink>
      <w:r w:rsidR="005713E7" w:rsidRPr="00BA2A5E">
        <w:rPr>
          <w:sz w:val="22"/>
          <w:szCs w:val="22"/>
          <w:lang w:eastAsia="en-US"/>
        </w:rPr>
        <w:t xml:space="preserve">; </w:t>
      </w:r>
      <w:hyperlink r:id="rId10" w:history="1">
        <w:r w:rsidR="005713E7" w:rsidRPr="00BA2A5E">
          <w:rPr>
            <w:color w:val="0000FF"/>
            <w:sz w:val="22"/>
            <w:szCs w:val="22"/>
            <w:u w:val="single"/>
            <w:lang w:eastAsia="en-US"/>
          </w:rPr>
          <w:t>pers@zzdats.lv</w:t>
        </w:r>
      </w:hyperlink>
      <w:r w:rsidR="005713E7" w:rsidRPr="00BA2A5E">
        <w:rPr>
          <w:sz w:val="22"/>
          <w:szCs w:val="22"/>
          <w:lang w:eastAsia="en-US"/>
        </w:rPr>
        <w:t xml:space="preserve">; </w:t>
      </w:r>
      <w:hyperlink r:id="rId11" w:history="1">
        <w:r w:rsidR="005713E7" w:rsidRPr="00BA2A5E">
          <w:rPr>
            <w:color w:val="0000FF"/>
            <w:sz w:val="22"/>
            <w:szCs w:val="22"/>
            <w:u w:val="single"/>
            <w:lang w:eastAsia="en-US"/>
          </w:rPr>
          <w:t>dzimts@zzdats.lv</w:t>
        </w:r>
      </w:hyperlink>
      <w:r w:rsidR="005713E7" w:rsidRPr="00BA2A5E">
        <w:rPr>
          <w:sz w:val="22"/>
          <w:szCs w:val="22"/>
          <w:lang w:eastAsia="en-US"/>
        </w:rPr>
        <w:t xml:space="preserve">; </w:t>
      </w:r>
      <w:hyperlink r:id="rId12" w:history="1">
        <w:r w:rsidR="005713E7" w:rsidRPr="00BA2A5E">
          <w:rPr>
            <w:color w:val="0000FF"/>
            <w:sz w:val="22"/>
            <w:szCs w:val="22"/>
            <w:u w:val="single"/>
            <w:lang w:eastAsia="en-US"/>
          </w:rPr>
          <w:t>zzdats@zzdats.lv</w:t>
        </w:r>
      </w:hyperlink>
      <w:r w:rsidR="005713E7" w:rsidRPr="00BA2A5E">
        <w:rPr>
          <w:sz w:val="22"/>
          <w:szCs w:val="22"/>
          <w:lang w:eastAsia="en-US"/>
        </w:rPr>
        <w:t>.</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Pasūtītāja datu bāzes integritātes nodrošināšanu, kas iekļauj datu bāzes struktūras un datu ierakstu korektību, datu bāzu versiju savietojamību, bet neiekļauj Pasūtītāju Programmu lietotāju ievadīto datu satura pareizības un aktualizācijas nodrošināšanu;</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tīkla savienojumu tehnisko nodrošināšanu PMLP Iedzīvotāju reģistram, Uzņēmumu reģistram, bankām, ja Pasūtītājs ir noslēdzis līgumu ar attiecīgu iestādi;</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Programmu jaunu versiju attālinātu uzstādīšanu, izmantojot tīkla tiešslēgumu un konsultācijas attiecībā uz Programmu jaunu versiju darbināšanu;</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lastRenderedPageBreak/>
        <w:t xml:space="preserve"> konsultācijas attiecībā uz Oracle serveru darbināšanu Programmu darbības nodrošināšanai;</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Programmu darbību tieši regulējošo Latvijas valsts normatīvo aktu noteikto prasību nodrošināšanu Programmu darbībā, kas nozīmē, ka automātiski tiek nodrošinātas valsts likumu un MK noteikumu prasības, bet automātiski netiek nodrošinātas pašvaldības saistošo noteikumu prasības;</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Programmu lietotāju un to tiesību administrēšana, nosūtot parakstītu un ieskanētu iesniegumu uz norādīto e-pasta adresi.</w:t>
      </w:r>
    </w:p>
    <w:p w:rsidR="00B85DB1" w:rsidRPr="00BA2A5E" w:rsidRDefault="00B85DB1" w:rsidP="00B85DB1">
      <w:pPr>
        <w:pStyle w:val="BodyText2"/>
        <w:widowControl/>
        <w:numPr>
          <w:ilvl w:val="0"/>
          <w:numId w:val="2"/>
        </w:numPr>
        <w:tabs>
          <w:tab w:val="clear" w:pos="1080"/>
          <w:tab w:val="left" w:pos="0"/>
        </w:tabs>
        <w:spacing w:before="60" w:after="60"/>
        <w:rPr>
          <w:sz w:val="22"/>
          <w:szCs w:val="22"/>
        </w:rPr>
      </w:pPr>
      <w:r w:rsidRPr="00BA2A5E">
        <w:rPr>
          <w:sz w:val="22"/>
          <w:szCs w:val="22"/>
        </w:rPr>
        <w:t>Izpildītājs nodrošina:</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Pasūtītāja datu drošību, kas nozīmē nesankcionētas datu piekļuves vai izmantošanas aizliegšanu;</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Fizisku personu datu aizsardzības likuma prasību ievērošanu šā Līguma 3. punktā minēto pakalpojumu sniegšanas ietvaros;</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Pasūtītāja konfidenciālas informācijas neizmantošanu savu vai trešo personu interesēs. Par konfidenciālu informāciju tiek uzskatīta tāda pasūtītāja informācija, kura nav publiski pieejama trešajām personām;</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Izpildītājs atbilstoši Fizisko personu datu aizsardzības likuma prasībām nodrošina Pasūtītājam pēc tā pieprasījuma informāciju par to, kurš citas pašvaldības lietotājs kādus personu datus ir noteiktā laika periodā ir izmantojis.</w:t>
      </w:r>
    </w:p>
    <w:p w:rsidR="00B85DB1" w:rsidRPr="00BA2A5E" w:rsidRDefault="00B85DB1" w:rsidP="00B85DB1">
      <w:pPr>
        <w:pStyle w:val="BodyText2"/>
        <w:widowControl/>
        <w:numPr>
          <w:ilvl w:val="0"/>
          <w:numId w:val="2"/>
        </w:numPr>
        <w:tabs>
          <w:tab w:val="clear" w:pos="1080"/>
          <w:tab w:val="left" w:pos="0"/>
        </w:tabs>
        <w:spacing w:before="60" w:after="60"/>
        <w:rPr>
          <w:sz w:val="22"/>
          <w:szCs w:val="22"/>
        </w:rPr>
      </w:pPr>
      <w:r w:rsidRPr="00BA2A5E">
        <w:rPr>
          <w:sz w:val="22"/>
          <w:szCs w:val="22"/>
        </w:rPr>
        <w:t>Pasūtītājs apņemas:</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apmaksāt Izpildītājam nolīgto summu atbilstoši šī līguma prasībām;</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nodrošināt šā Līguma 1.punktā minēto Programmu darbināšanai un 3.punktā minēto pakalpojumu saņemšanai nepieciešamās datortehnikas (darbstacijas), datortīkla, interneta tīkla un tā nodrošinājuma programmatūras pareizu darbību;</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kompetentus šā Līguma 1.punktā minēto Programmu lietotājus, kuri nes atbildību par pareizu Programmu lietošanu un datu bāzu satura aktualizēšanu;</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kompetentu datorspeciālistu šā Līguma 3.punktā minēto pakalpojumu kvalitatīvai saņemšanai;</w:t>
      </w:r>
    </w:p>
    <w:p w:rsidR="00B85DB1" w:rsidRPr="00BA2A5E" w:rsidRDefault="00B85DB1" w:rsidP="00B85DB1">
      <w:pPr>
        <w:pStyle w:val="BodyText2"/>
        <w:widowControl/>
        <w:numPr>
          <w:ilvl w:val="1"/>
          <w:numId w:val="2"/>
        </w:numPr>
        <w:tabs>
          <w:tab w:val="clear" w:pos="1080"/>
          <w:tab w:val="left" w:pos="0"/>
        </w:tabs>
        <w:spacing w:before="60" w:after="60"/>
        <w:rPr>
          <w:sz w:val="22"/>
          <w:szCs w:val="22"/>
        </w:rPr>
      </w:pPr>
      <w:r w:rsidRPr="00BA2A5E">
        <w:rPr>
          <w:sz w:val="22"/>
          <w:szCs w:val="22"/>
        </w:rPr>
        <w:t xml:space="preserve"> </w:t>
      </w:r>
      <w:r w:rsidR="001C4352">
        <w:rPr>
          <w:sz w:val="22"/>
          <w:szCs w:val="22"/>
        </w:rPr>
        <w:t>Izpildītāja</w:t>
      </w:r>
      <w:r w:rsidRPr="00BA2A5E">
        <w:rPr>
          <w:sz w:val="22"/>
          <w:szCs w:val="22"/>
        </w:rPr>
        <w:t xml:space="preserve"> konfidenciālas informācijas nesniegšanu trešajām pusēm. Par konfidenciālu informāciju tiek uzskatīta tāda </w:t>
      </w:r>
      <w:r w:rsidR="001C4352">
        <w:rPr>
          <w:sz w:val="22"/>
          <w:szCs w:val="22"/>
        </w:rPr>
        <w:t>Izpildītāja</w:t>
      </w:r>
      <w:r w:rsidRPr="00BA2A5E">
        <w:rPr>
          <w:sz w:val="22"/>
          <w:szCs w:val="22"/>
        </w:rPr>
        <w:t xml:space="preserve"> informācija, kura nav publiski pieejama trešajām pusēm, tajā skaitā, jebkāda ar Programmām, datu bāzēm vai to struktūrām saistīta informācija vai dokumentācija.</w:t>
      </w:r>
    </w:p>
    <w:p w:rsidR="00B85DB1" w:rsidRPr="00BA2A5E" w:rsidRDefault="00B85DB1" w:rsidP="00B85DB1">
      <w:pPr>
        <w:pStyle w:val="BodyText2"/>
        <w:widowControl/>
        <w:tabs>
          <w:tab w:val="clear" w:pos="1080"/>
          <w:tab w:val="left" w:pos="0"/>
        </w:tabs>
        <w:spacing w:before="240" w:after="240"/>
        <w:jc w:val="center"/>
        <w:rPr>
          <w:b/>
          <w:sz w:val="22"/>
          <w:szCs w:val="22"/>
        </w:rPr>
      </w:pPr>
      <w:r w:rsidRPr="00BA2A5E">
        <w:rPr>
          <w:b/>
          <w:sz w:val="22"/>
          <w:szCs w:val="22"/>
        </w:rPr>
        <w:t>IV. Līguma summa un norēķinu kārtība</w:t>
      </w:r>
    </w:p>
    <w:p w:rsidR="00B85DB1" w:rsidRPr="00BA2A5E" w:rsidRDefault="00B85DB1" w:rsidP="00B85DB1">
      <w:pPr>
        <w:pStyle w:val="BodyText2"/>
        <w:widowControl/>
        <w:numPr>
          <w:ilvl w:val="0"/>
          <w:numId w:val="2"/>
        </w:numPr>
        <w:tabs>
          <w:tab w:val="clear" w:pos="1080"/>
          <w:tab w:val="left" w:pos="0"/>
        </w:tabs>
        <w:spacing w:before="60" w:after="60"/>
        <w:rPr>
          <w:sz w:val="22"/>
          <w:szCs w:val="22"/>
        </w:rPr>
      </w:pPr>
      <w:r w:rsidRPr="00BA2A5E">
        <w:rPr>
          <w:sz w:val="22"/>
          <w:szCs w:val="22"/>
        </w:rPr>
        <w:t xml:space="preserve">Šā Līguma </w:t>
      </w:r>
      <w:bookmarkStart w:id="1" w:name="Kopsumma"/>
      <w:r w:rsidRPr="00BA2A5E">
        <w:rPr>
          <w:sz w:val="22"/>
          <w:szCs w:val="22"/>
        </w:rPr>
        <w:t xml:space="preserve">minēto pakalpojumu kopējā cena ir </w:t>
      </w:r>
      <w:r w:rsidRPr="00287266">
        <w:rPr>
          <w:b/>
          <w:sz w:val="22"/>
          <w:szCs w:val="22"/>
        </w:rPr>
        <w:t>EUR</w:t>
      </w:r>
      <w:r w:rsidR="00287266" w:rsidRPr="00287266">
        <w:rPr>
          <w:b/>
          <w:sz w:val="22"/>
          <w:szCs w:val="22"/>
        </w:rPr>
        <w:t xml:space="preserve"> 6826,94</w:t>
      </w:r>
      <w:r w:rsidR="00287266">
        <w:rPr>
          <w:b/>
          <w:sz w:val="22"/>
          <w:szCs w:val="22"/>
        </w:rPr>
        <w:t xml:space="preserve"> (seši tūkstoši astoņi simti divdesmit seši </w:t>
      </w:r>
      <w:r w:rsidR="00287266" w:rsidRPr="00C57EE7">
        <w:rPr>
          <w:b/>
          <w:i/>
          <w:sz w:val="22"/>
          <w:szCs w:val="22"/>
        </w:rPr>
        <w:t>euro</w:t>
      </w:r>
      <w:r w:rsidR="00287266">
        <w:rPr>
          <w:b/>
          <w:sz w:val="22"/>
          <w:szCs w:val="22"/>
        </w:rPr>
        <w:t xml:space="preserve"> un 94 centi)</w:t>
      </w:r>
      <w:r w:rsidRPr="00BA2A5E">
        <w:rPr>
          <w:sz w:val="22"/>
          <w:szCs w:val="22"/>
        </w:rPr>
        <w:t xml:space="preserve"> bez PVN, PVN ir </w:t>
      </w:r>
      <w:bookmarkEnd w:id="1"/>
      <w:r w:rsidRPr="00287266">
        <w:rPr>
          <w:sz w:val="22"/>
          <w:szCs w:val="22"/>
        </w:rPr>
        <w:t xml:space="preserve">EUR </w:t>
      </w:r>
      <w:r w:rsidR="00287266" w:rsidRPr="00287266">
        <w:rPr>
          <w:sz w:val="22"/>
          <w:szCs w:val="22"/>
        </w:rPr>
        <w:t>1433,66</w:t>
      </w:r>
      <w:r w:rsidR="00C57EE7">
        <w:rPr>
          <w:sz w:val="22"/>
          <w:szCs w:val="22"/>
        </w:rPr>
        <w:t xml:space="preserve">, </w:t>
      </w:r>
      <w:r w:rsidRPr="00BA2A5E">
        <w:rPr>
          <w:sz w:val="22"/>
          <w:szCs w:val="22"/>
        </w:rPr>
        <w:t xml:space="preserve">kopā ar PVN </w:t>
      </w:r>
      <w:r w:rsidR="00287266" w:rsidRPr="00287266">
        <w:rPr>
          <w:b/>
          <w:sz w:val="22"/>
          <w:szCs w:val="22"/>
        </w:rPr>
        <w:t>EUR 8260,60</w:t>
      </w:r>
      <w:r w:rsidRPr="00BA2A5E">
        <w:rPr>
          <w:sz w:val="22"/>
          <w:szCs w:val="22"/>
        </w:rPr>
        <w:t xml:space="preserve"> (</w:t>
      </w:r>
      <w:r w:rsidR="00287266">
        <w:rPr>
          <w:sz w:val="22"/>
          <w:szCs w:val="22"/>
        </w:rPr>
        <w:t xml:space="preserve">astoņi tūkstoši divi simti sešdesmit </w:t>
      </w:r>
      <w:r w:rsidR="00287266" w:rsidRPr="00C57EE7">
        <w:rPr>
          <w:i/>
          <w:sz w:val="22"/>
          <w:szCs w:val="22"/>
        </w:rPr>
        <w:t>euro</w:t>
      </w:r>
      <w:r w:rsidR="00287266">
        <w:rPr>
          <w:sz w:val="22"/>
          <w:szCs w:val="22"/>
        </w:rPr>
        <w:t xml:space="preserve"> un 60 centi bez PVN</w:t>
      </w:r>
      <w:r w:rsidRPr="00BA2A5E">
        <w:rPr>
          <w:sz w:val="22"/>
          <w:szCs w:val="22"/>
        </w:rPr>
        <w:t>). Ja saskaņā ar Latvijas valsts normatīvajiem aktiem mainās pievienotās vērtības (PVN) likme, tad līdzēji savstarpējos norēķinos piemēro jauno PVN likmi ar tās spēkā stāšanās datumu.</w:t>
      </w:r>
    </w:p>
    <w:p w:rsidR="00B85DB1" w:rsidRPr="00BA2A5E" w:rsidRDefault="00B85DB1" w:rsidP="00B85DB1">
      <w:pPr>
        <w:pStyle w:val="BodyText2"/>
        <w:widowControl/>
        <w:numPr>
          <w:ilvl w:val="0"/>
          <w:numId w:val="2"/>
        </w:numPr>
        <w:tabs>
          <w:tab w:val="clear" w:pos="1080"/>
          <w:tab w:val="left" w:pos="0"/>
        </w:tabs>
        <w:spacing w:before="60" w:after="60"/>
        <w:rPr>
          <w:sz w:val="22"/>
          <w:szCs w:val="22"/>
        </w:rPr>
      </w:pPr>
      <w:r w:rsidRPr="00BA2A5E">
        <w:rPr>
          <w:sz w:val="22"/>
          <w:szCs w:val="22"/>
        </w:rPr>
        <w:t xml:space="preserve">Pasūtītājs šā Līguma punktā 6. punktā minēto līgumcenu apmaksā četrās vienādās daļas pa kalendārā gada ceturkšņiem, pēc izpildītāja piestādītā rēķina. Izpildītāja piestādītais rēķins var būt parakstīts ar drošu elektronisko parakstu un nosūtīts elektroniski uz Pasūtītāja elektroniskā pasta adresi </w:t>
      </w:r>
      <w:hyperlink r:id="rId13" w:history="1">
        <w:r w:rsidRPr="00BA2A5E">
          <w:rPr>
            <w:rStyle w:val="Hyperlink"/>
            <w:sz w:val="22"/>
            <w:szCs w:val="22"/>
          </w:rPr>
          <w:t>info@daugavpils.lv</w:t>
        </w:r>
      </w:hyperlink>
      <w:r w:rsidRPr="00BA2A5E">
        <w:rPr>
          <w:sz w:val="22"/>
          <w:szCs w:val="22"/>
        </w:rPr>
        <w:t xml:space="preserve"> .</w:t>
      </w:r>
    </w:p>
    <w:p w:rsidR="00B85DB1" w:rsidRPr="00BA2A5E" w:rsidRDefault="00B85DB1" w:rsidP="00B85DB1">
      <w:pPr>
        <w:pStyle w:val="BodyText2"/>
        <w:widowControl/>
        <w:tabs>
          <w:tab w:val="clear" w:pos="1080"/>
          <w:tab w:val="left" w:pos="0"/>
        </w:tabs>
        <w:spacing w:before="240" w:after="240"/>
        <w:jc w:val="center"/>
        <w:rPr>
          <w:b/>
          <w:sz w:val="22"/>
          <w:szCs w:val="22"/>
        </w:rPr>
      </w:pPr>
      <w:r w:rsidRPr="00BA2A5E">
        <w:rPr>
          <w:b/>
          <w:sz w:val="22"/>
          <w:szCs w:val="22"/>
        </w:rPr>
        <w:t>V. Pušu atbildība</w:t>
      </w:r>
    </w:p>
    <w:p w:rsidR="00B85DB1" w:rsidRPr="00BA2A5E" w:rsidRDefault="00B85DB1" w:rsidP="00B85DB1">
      <w:pPr>
        <w:pStyle w:val="BodyText2"/>
        <w:widowControl/>
        <w:numPr>
          <w:ilvl w:val="0"/>
          <w:numId w:val="2"/>
        </w:numPr>
        <w:tabs>
          <w:tab w:val="clear" w:pos="1080"/>
          <w:tab w:val="left" w:pos="0"/>
        </w:tabs>
        <w:spacing w:before="60" w:after="60"/>
        <w:rPr>
          <w:sz w:val="22"/>
          <w:szCs w:val="22"/>
        </w:rPr>
      </w:pPr>
      <w:r w:rsidRPr="00BA2A5E">
        <w:rPr>
          <w:sz w:val="22"/>
          <w:szCs w:val="22"/>
        </w:rPr>
        <w:t>Gadījumā, ja kāda no līgumslēdzējām Pusēm nepilda vai nepienācīgi pilda šī Līguma noteikumus, vainīgā puse pilnīgi atlīdzina otrai pusei radušos zaudējumus saskaņā ar Latvijas Republikā spēkā esošajiem normatīvajiem aktiem.</w:t>
      </w:r>
    </w:p>
    <w:p w:rsidR="00B85DB1" w:rsidRPr="00BA2A5E" w:rsidRDefault="00B85DB1" w:rsidP="00B85DB1">
      <w:pPr>
        <w:pStyle w:val="BodyText2"/>
        <w:widowControl/>
        <w:numPr>
          <w:ilvl w:val="0"/>
          <w:numId w:val="2"/>
        </w:numPr>
        <w:tabs>
          <w:tab w:val="clear" w:pos="1080"/>
          <w:tab w:val="left" w:pos="0"/>
        </w:tabs>
        <w:spacing w:before="60" w:after="60"/>
        <w:rPr>
          <w:sz w:val="22"/>
          <w:szCs w:val="22"/>
        </w:rPr>
      </w:pPr>
      <w:r w:rsidRPr="00BA2A5E">
        <w:rPr>
          <w:sz w:val="22"/>
          <w:szCs w:val="22"/>
        </w:rPr>
        <w:lastRenderedPageBreak/>
        <w:t>Visus strīdus un domstarpības, kas rodas starp Pusēm sakarā ar šī līguma izpildi, Puses risina pārrunu ceļā. Ja vienošanās netiek panākta, strīdu izskatīšana tiek nodota tiesā saskaņā ar Latvijas Republikā spēkā esošajiem normatīvajiem aktiem.</w:t>
      </w:r>
    </w:p>
    <w:p w:rsidR="00B85DB1" w:rsidRPr="00BA2A5E" w:rsidRDefault="00B85DB1" w:rsidP="00B85DB1">
      <w:pPr>
        <w:pStyle w:val="BodyText2"/>
        <w:widowControl/>
        <w:tabs>
          <w:tab w:val="clear" w:pos="1080"/>
          <w:tab w:val="left" w:pos="0"/>
        </w:tabs>
        <w:spacing w:before="240" w:after="240"/>
        <w:jc w:val="center"/>
        <w:rPr>
          <w:b/>
          <w:sz w:val="22"/>
          <w:szCs w:val="22"/>
        </w:rPr>
      </w:pPr>
      <w:r w:rsidRPr="00BA2A5E">
        <w:rPr>
          <w:b/>
          <w:sz w:val="22"/>
          <w:szCs w:val="22"/>
        </w:rPr>
        <w:t>VI. Nepārvarama vara</w:t>
      </w:r>
    </w:p>
    <w:p w:rsidR="00B85DB1" w:rsidRPr="00BA2A5E" w:rsidRDefault="00B85DB1" w:rsidP="00B85DB1">
      <w:pPr>
        <w:pStyle w:val="BodyText2"/>
        <w:widowControl/>
        <w:numPr>
          <w:ilvl w:val="0"/>
          <w:numId w:val="2"/>
        </w:numPr>
        <w:tabs>
          <w:tab w:val="clear" w:pos="1080"/>
          <w:tab w:val="left" w:pos="0"/>
        </w:tabs>
        <w:spacing w:before="60" w:after="60"/>
        <w:rPr>
          <w:sz w:val="22"/>
          <w:szCs w:val="22"/>
        </w:rPr>
      </w:pPr>
      <w:r w:rsidRPr="00BA2A5E">
        <w:rPr>
          <w:sz w:val="22"/>
          <w:szCs w:val="22"/>
        </w:rPr>
        <w:t>Gadījumā, kad rodas nepārvaramas varas apstākļi, tādi kā dabas katastrofas, karš, jebkuras militāras akcijas, valsts pārvaldes institūciju rīkojumi, lēmumi vai aizliegumi un citi ārkārtēji apstākļi, kurus nevarēja paredzēt un novērst ar saviem līdzekļiem, līgumsaistību izpildes laiks pagarinās par periodu, kurā pastāv nepārvaramas varas radītie apstākļi.</w:t>
      </w:r>
    </w:p>
    <w:p w:rsidR="00B85DB1" w:rsidRPr="00BA2A5E" w:rsidRDefault="00B85DB1" w:rsidP="00B85DB1">
      <w:pPr>
        <w:pStyle w:val="BodyText2"/>
        <w:widowControl/>
        <w:numPr>
          <w:ilvl w:val="0"/>
          <w:numId w:val="2"/>
        </w:numPr>
        <w:tabs>
          <w:tab w:val="clear" w:pos="1080"/>
          <w:tab w:val="left" w:pos="0"/>
        </w:tabs>
        <w:spacing w:before="60" w:after="60"/>
        <w:rPr>
          <w:sz w:val="22"/>
          <w:szCs w:val="22"/>
        </w:rPr>
      </w:pPr>
      <w:r w:rsidRPr="00BA2A5E">
        <w:rPr>
          <w:sz w:val="22"/>
          <w:szCs w:val="22"/>
        </w:rPr>
        <w:t>Ja nepārvaramas varas apstākļi pastāv ilgāk kā 1 (vienu) mēnesi, Līguma darbība tiek izbeigta un Puses veic savstarpējo norēķinu.</w:t>
      </w:r>
    </w:p>
    <w:p w:rsidR="00B85DB1" w:rsidRPr="00BA2A5E" w:rsidRDefault="00B85DB1" w:rsidP="00B85DB1">
      <w:pPr>
        <w:pStyle w:val="BodyText2"/>
        <w:widowControl/>
        <w:tabs>
          <w:tab w:val="clear" w:pos="1080"/>
          <w:tab w:val="left" w:pos="0"/>
        </w:tabs>
        <w:spacing w:before="240" w:after="240"/>
        <w:jc w:val="center"/>
        <w:rPr>
          <w:sz w:val="22"/>
          <w:szCs w:val="22"/>
        </w:rPr>
      </w:pPr>
      <w:r w:rsidRPr="00BA2A5E">
        <w:rPr>
          <w:b/>
          <w:sz w:val="22"/>
          <w:szCs w:val="22"/>
        </w:rPr>
        <w:t>VII. Citi nosacījumi</w:t>
      </w:r>
    </w:p>
    <w:p w:rsidR="00B85DB1" w:rsidRPr="00BA2A5E" w:rsidRDefault="00B85DB1" w:rsidP="00B85DB1">
      <w:pPr>
        <w:pStyle w:val="BodyText2"/>
        <w:widowControl/>
        <w:numPr>
          <w:ilvl w:val="0"/>
          <w:numId w:val="2"/>
        </w:numPr>
        <w:tabs>
          <w:tab w:val="clear" w:pos="1080"/>
          <w:tab w:val="left" w:pos="0"/>
        </w:tabs>
        <w:spacing w:before="60" w:after="60"/>
        <w:rPr>
          <w:sz w:val="22"/>
          <w:szCs w:val="22"/>
        </w:rPr>
      </w:pPr>
      <w:r w:rsidRPr="00BA2A5E">
        <w:rPr>
          <w:sz w:val="22"/>
          <w:szCs w:val="22"/>
        </w:rPr>
        <w:t>Visas izmaiņas un papildinājumi šajā Līgumā stājas spēkā tikai pēc to noformēšanas rakstveidā un pēc tam, kad tos ir parakstījušas abas Puses.</w:t>
      </w:r>
    </w:p>
    <w:p w:rsidR="00B85DB1" w:rsidRPr="00BA2A5E" w:rsidRDefault="00B85DB1" w:rsidP="00B85DB1">
      <w:pPr>
        <w:pStyle w:val="BodyText2"/>
        <w:widowControl/>
        <w:numPr>
          <w:ilvl w:val="0"/>
          <w:numId w:val="2"/>
        </w:numPr>
        <w:tabs>
          <w:tab w:val="clear" w:pos="1080"/>
          <w:tab w:val="left" w:pos="0"/>
        </w:tabs>
        <w:spacing w:before="60" w:after="60"/>
        <w:rPr>
          <w:sz w:val="22"/>
          <w:szCs w:val="22"/>
        </w:rPr>
      </w:pPr>
      <w:r w:rsidRPr="00BA2A5E">
        <w:rPr>
          <w:sz w:val="22"/>
          <w:szCs w:val="22"/>
        </w:rPr>
        <w:t xml:space="preserve">Pasūtītājs par pilnvaroto pārstāvi līguma izpilde laikā nozīmē </w:t>
      </w:r>
      <w:r w:rsidRPr="00EC4D67">
        <w:rPr>
          <w:b/>
          <w:sz w:val="22"/>
          <w:szCs w:val="22"/>
        </w:rPr>
        <w:t>Andreju Šapovalu</w:t>
      </w:r>
      <w:r w:rsidRPr="00BA2A5E">
        <w:rPr>
          <w:sz w:val="22"/>
          <w:szCs w:val="22"/>
        </w:rPr>
        <w:t>, tālrunis 65404363, e-pasts</w:t>
      </w:r>
      <w:r w:rsidR="00EC4D67">
        <w:rPr>
          <w:sz w:val="22"/>
          <w:szCs w:val="22"/>
        </w:rPr>
        <w:t>:</w:t>
      </w:r>
      <w:r w:rsidRPr="00BA2A5E">
        <w:rPr>
          <w:sz w:val="22"/>
          <w:szCs w:val="22"/>
        </w:rPr>
        <w:t xml:space="preserve"> </w:t>
      </w:r>
      <w:hyperlink r:id="rId14" w:history="1">
        <w:r w:rsidRPr="00BA2A5E">
          <w:rPr>
            <w:rStyle w:val="Hyperlink"/>
            <w:sz w:val="22"/>
            <w:szCs w:val="22"/>
          </w:rPr>
          <w:t>andrejs.sapovals@daugavpils.lv</w:t>
        </w:r>
      </w:hyperlink>
      <w:r w:rsidRPr="00BA2A5E">
        <w:rPr>
          <w:sz w:val="22"/>
          <w:szCs w:val="22"/>
        </w:rPr>
        <w:t xml:space="preserve">. </w:t>
      </w:r>
      <w:r w:rsidR="005713E7" w:rsidRPr="00BA2A5E">
        <w:rPr>
          <w:sz w:val="22"/>
          <w:szCs w:val="22"/>
          <w:lang w:eastAsia="en-US"/>
        </w:rPr>
        <w:t xml:space="preserve">Izpildītājs par pilnvaroto pārstāvi Līguma izpildes laikā nozīmē </w:t>
      </w:r>
      <w:r w:rsidR="005713E7" w:rsidRPr="00EC4D67">
        <w:rPr>
          <w:b/>
          <w:sz w:val="22"/>
          <w:szCs w:val="22"/>
          <w:lang w:eastAsia="en-US"/>
        </w:rPr>
        <w:t>Edžu Žeiri</w:t>
      </w:r>
      <w:r w:rsidR="005713E7" w:rsidRPr="00BA2A5E">
        <w:rPr>
          <w:sz w:val="22"/>
          <w:szCs w:val="22"/>
          <w:lang w:eastAsia="en-US"/>
        </w:rPr>
        <w:t>, tālrunis: 67686957, e-pasts</w:t>
      </w:r>
      <w:r w:rsidR="00EC4D67">
        <w:rPr>
          <w:sz w:val="22"/>
          <w:szCs w:val="22"/>
          <w:lang w:eastAsia="en-US"/>
        </w:rPr>
        <w:t>:</w:t>
      </w:r>
      <w:r w:rsidR="005713E7" w:rsidRPr="00BA2A5E">
        <w:rPr>
          <w:sz w:val="22"/>
          <w:szCs w:val="22"/>
          <w:lang w:eastAsia="en-US"/>
        </w:rPr>
        <w:t xml:space="preserve"> </w:t>
      </w:r>
      <w:hyperlink r:id="rId15" w:history="1">
        <w:r w:rsidR="005713E7" w:rsidRPr="00BA2A5E">
          <w:rPr>
            <w:color w:val="0000FF"/>
            <w:sz w:val="22"/>
            <w:szCs w:val="22"/>
            <w:u w:val="single"/>
            <w:lang w:eastAsia="en-US"/>
          </w:rPr>
          <w:t>edzus.zeiris@zzdats.lv</w:t>
        </w:r>
      </w:hyperlink>
      <w:r w:rsidRPr="00BA2A5E">
        <w:rPr>
          <w:sz w:val="22"/>
          <w:szCs w:val="22"/>
        </w:rPr>
        <w:t>. Pušu pilnvarotie pārstāvji ir atbildīgi par Līguma izpildes uzraudzīšanu, tai skaitā, par pakalpojumu kvalitatīvu sniegšanu, problēmu pieteikšanu un atrisināšanu, savlaicīgu rēķinu iesniegšanu un pieņemšanu, apstiprināšanu un nodošanu apmaksai.</w:t>
      </w:r>
    </w:p>
    <w:p w:rsidR="00B85DB1" w:rsidRPr="00BA2A5E" w:rsidRDefault="00B85DB1" w:rsidP="00B85DB1">
      <w:pPr>
        <w:pStyle w:val="BodyText2"/>
        <w:widowControl/>
        <w:numPr>
          <w:ilvl w:val="0"/>
          <w:numId w:val="2"/>
        </w:numPr>
        <w:tabs>
          <w:tab w:val="clear" w:pos="1080"/>
          <w:tab w:val="left" w:pos="0"/>
        </w:tabs>
        <w:spacing w:before="60" w:after="60"/>
        <w:rPr>
          <w:sz w:val="22"/>
          <w:szCs w:val="22"/>
        </w:rPr>
      </w:pPr>
      <w:r w:rsidRPr="00BA2A5E">
        <w:rPr>
          <w:sz w:val="22"/>
          <w:szCs w:val="22"/>
        </w:rPr>
        <w:t xml:space="preserve">Līgums sastādīts latviešu valodā uz </w:t>
      </w:r>
      <w:r w:rsidR="00BA2A5E" w:rsidRPr="00BA2A5E">
        <w:rPr>
          <w:sz w:val="22"/>
          <w:szCs w:val="22"/>
        </w:rPr>
        <w:t>3</w:t>
      </w:r>
      <w:r w:rsidRPr="00BA2A5E">
        <w:rPr>
          <w:sz w:val="22"/>
          <w:szCs w:val="22"/>
        </w:rPr>
        <w:t xml:space="preserve"> lapām un parakstīts divos oriģinālos eksemplāros. Abu eksemplāru tekstiem ir vienāds juridisks spēks.</w:t>
      </w:r>
    </w:p>
    <w:p w:rsidR="00B85DB1" w:rsidRPr="00BA2A5E" w:rsidRDefault="00B85DB1" w:rsidP="00B85DB1">
      <w:pPr>
        <w:tabs>
          <w:tab w:val="left" w:pos="432"/>
        </w:tabs>
        <w:spacing w:before="100" w:beforeAutospacing="1" w:after="100" w:afterAutospacing="1"/>
        <w:jc w:val="center"/>
        <w:rPr>
          <w:b/>
          <w:sz w:val="22"/>
          <w:szCs w:val="22"/>
        </w:rPr>
      </w:pPr>
      <w:r w:rsidRPr="00BA2A5E">
        <w:rPr>
          <w:b/>
          <w:sz w:val="22"/>
          <w:szCs w:val="22"/>
        </w:rPr>
        <w:t>VIII. Pušu adreses un paraksti</w:t>
      </w:r>
    </w:p>
    <w:tbl>
      <w:tblPr>
        <w:tblW w:w="9430" w:type="dxa"/>
        <w:tblInd w:w="-108" w:type="dxa"/>
        <w:tblLayout w:type="fixed"/>
        <w:tblLook w:val="0000" w:firstRow="0" w:lastRow="0" w:firstColumn="0" w:lastColumn="0" w:noHBand="0" w:noVBand="0"/>
      </w:tblPr>
      <w:tblGrid>
        <w:gridCol w:w="108"/>
        <w:gridCol w:w="4144"/>
        <w:gridCol w:w="926"/>
        <w:gridCol w:w="3326"/>
        <w:gridCol w:w="926"/>
      </w:tblGrid>
      <w:tr w:rsidR="00B85DB1" w:rsidRPr="00BA2A5E" w:rsidTr="005713E7">
        <w:trPr>
          <w:gridBefore w:val="1"/>
          <w:wBefore w:w="108" w:type="dxa"/>
        </w:trPr>
        <w:tc>
          <w:tcPr>
            <w:tcW w:w="5070" w:type="dxa"/>
            <w:gridSpan w:val="2"/>
          </w:tcPr>
          <w:p w:rsidR="00B85DB1" w:rsidRPr="00BA2A5E" w:rsidRDefault="00B85DB1" w:rsidP="002F48A0">
            <w:pPr>
              <w:spacing w:before="60" w:after="60"/>
              <w:rPr>
                <w:b/>
                <w:sz w:val="22"/>
                <w:szCs w:val="22"/>
              </w:rPr>
            </w:pPr>
            <w:r w:rsidRPr="00BA2A5E">
              <w:rPr>
                <w:b/>
                <w:sz w:val="22"/>
                <w:szCs w:val="22"/>
              </w:rPr>
              <w:t>Pasūtītājs:</w:t>
            </w:r>
          </w:p>
        </w:tc>
        <w:tc>
          <w:tcPr>
            <w:tcW w:w="4252" w:type="dxa"/>
            <w:gridSpan w:val="2"/>
          </w:tcPr>
          <w:p w:rsidR="00B85DB1" w:rsidRPr="00BA2A5E" w:rsidRDefault="00B85DB1" w:rsidP="003D10F8">
            <w:pPr>
              <w:spacing w:before="60" w:after="60"/>
              <w:ind w:left="459" w:hanging="425"/>
              <w:rPr>
                <w:b/>
                <w:sz w:val="22"/>
                <w:szCs w:val="22"/>
              </w:rPr>
            </w:pPr>
            <w:r w:rsidRPr="00BA2A5E">
              <w:rPr>
                <w:b/>
                <w:sz w:val="22"/>
                <w:szCs w:val="22"/>
              </w:rPr>
              <w:t>Izpildītājs:</w:t>
            </w:r>
          </w:p>
        </w:tc>
      </w:tr>
      <w:tr w:rsidR="005713E7" w:rsidRPr="00BA2A5E" w:rsidTr="005713E7">
        <w:trPr>
          <w:gridBefore w:val="1"/>
          <w:wBefore w:w="108" w:type="dxa"/>
        </w:trPr>
        <w:tc>
          <w:tcPr>
            <w:tcW w:w="5070" w:type="dxa"/>
            <w:gridSpan w:val="2"/>
          </w:tcPr>
          <w:p w:rsidR="005713E7" w:rsidRPr="00BA2A5E" w:rsidRDefault="005713E7" w:rsidP="005713E7">
            <w:pPr>
              <w:rPr>
                <w:b/>
                <w:bCs/>
                <w:sz w:val="22"/>
                <w:szCs w:val="22"/>
              </w:rPr>
            </w:pPr>
            <w:smartTag w:uri="urn:schemas-tilde-lv/tildestengine" w:element="firmas">
              <w:r w:rsidRPr="00BA2A5E">
                <w:rPr>
                  <w:b/>
                  <w:sz w:val="22"/>
                  <w:szCs w:val="22"/>
                </w:rPr>
                <w:t>Daugavpils pilsētas dome</w:t>
              </w:r>
            </w:smartTag>
          </w:p>
          <w:p w:rsidR="005713E7" w:rsidRPr="00BA2A5E" w:rsidRDefault="005713E7" w:rsidP="005713E7">
            <w:pPr>
              <w:rPr>
                <w:sz w:val="22"/>
                <w:szCs w:val="22"/>
              </w:rPr>
            </w:pPr>
            <w:r w:rsidRPr="00BA2A5E">
              <w:rPr>
                <w:sz w:val="22"/>
                <w:szCs w:val="22"/>
              </w:rPr>
              <w:t>K.Valdemāra iela 1, Daugavpils</w:t>
            </w:r>
          </w:p>
          <w:p w:rsidR="005713E7" w:rsidRPr="00BA2A5E" w:rsidRDefault="005713E7" w:rsidP="005713E7">
            <w:pPr>
              <w:rPr>
                <w:sz w:val="22"/>
                <w:szCs w:val="22"/>
              </w:rPr>
            </w:pPr>
            <w:r w:rsidRPr="00BA2A5E">
              <w:rPr>
                <w:sz w:val="22"/>
                <w:szCs w:val="22"/>
              </w:rPr>
              <w:t>Reģ. Nr. 90000077325</w:t>
            </w:r>
          </w:p>
          <w:p w:rsidR="005713E7" w:rsidRPr="00BA2A5E" w:rsidRDefault="005713E7" w:rsidP="005713E7">
            <w:pPr>
              <w:rPr>
                <w:sz w:val="22"/>
                <w:szCs w:val="22"/>
              </w:rPr>
            </w:pPr>
            <w:r w:rsidRPr="00BA2A5E">
              <w:rPr>
                <w:sz w:val="22"/>
                <w:szCs w:val="22"/>
              </w:rPr>
              <w:t>Banka: A/S „Swedbank”</w:t>
            </w:r>
          </w:p>
          <w:p w:rsidR="005713E7" w:rsidRPr="00BA2A5E" w:rsidRDefault="005713E7" w:rsidP="005713E7">
            <w:pPr>
              <w:rPr>
                <w:sz w:val="22"/>
                <w:szCs w:val="22"/>
              </w:rPr>
            </w:pPr>
            <w:r w:rsidRPr="00BA2A5E">
              <w:rPr>
                <w:sz w:val="22"/>
                <w:szCs w:val="22"/>
              </w:rPr>
              <w:t>Bankas kods: HABALV22</w:t>
            </w:r>
          </w:p>
          <w:p w:rsidR="005713E7" w:rsidRPr="00BA2A5E" w:rsidRDefault="005713E7" w:rsidP="005713E7">
            <w:pPr>
              <w:spacing w:before="60" w:after="60"/>
              <w:ind w:left="459" w:hanging="425"/>
              <w:rPr>
                <w:sz w:val="22"/>
                <w:szCs w:val="22"/>
              </w:rPr>
            </w:pPr>
            <w:r w:rsidRPr="00BA2A5E">
              <w:rPr>
                <w:sz w:val="22"/>
                <w:szCs w:val="22"/>
              </w:rPr>
              <w:t>Konts: LV69HABA0001402041250</w:t>
            </w:r>
          </w:p>
        </w:tc>
        <w:tc>
          <w:tcPr>
            <w:tcW w:w="4252" w:type="dxa"/>
            <w:gridSpan w:val="2"/>
          </w:tcPr>
          <w:p w:rsidR="005713E7" w:rsidRPr="00BA2A5E" w:rsidRDefault="005713E7" w:rsidP="00BA2A5E">
            <w:pPr>
              <w:ind w:left="459" w:hanging="425"/>
              <w:rPr>
                <w:b/>
                <w:sz w:val="22"/>
                <w:szCs w:val="22"/>
              </w:rPr>
            </w:pPr>
            <w:r w:rsidRPr="00BA2A5E">
              <w:rPr>
                <w:b/>
                <w:sz w:val="22"/>
                <w:szCs w:val="22"/>
              </w:rPr>
              <w:t>SIA "ZZ Dats"</w:t>
            </w:r>
          </w:p>
          <w:p w:rsidR="00BA2A5E" w:rsidRDefault="005713E7" w:rsidP="00BA2A5E">
            <w:pPr>
              <w:ind w:left="459" w:hanging="425"/>
              <w:rPr>
                <w:sz w:val="22"/>
                <w:szCs w:val="22"/>
              </w:rPr>
            </w:pPr>
            <w:r w:rsidRPr="00BA2A5E">
              <w:rPr>
                <w:sz w:val="22"/>
                <w:szCs w:val="22"/>
              </w:rPr>
              <w:t>Reģ.Nr. LV40003278467</w:t>
            </w:r>
          </w:p>
          <w:p w:rsidR="005713E7" w:rsidRPr="00BA2A5E" w:rsidRDefault="005713E7" w:rsidP="00BA2A5E">
            <w:pPr>
              <w:ind w:left="459" w:hanging="425"/>
              <w:rPr>
                <w:sz w:val="22"/>
                <w:szCs w:val="22"/>
              </w:rPr>
            </w:pPr>
            <w:r w:rsidRPr="00BA2A5E">
              <w:rPr>
                <w:sz w:val="22"/>
                <w:szCs w:val="22"/>
              </w:rPr>
              <w:t>Elizabetes iela 41/43, Rīga, LV-1010</w:t>
            </w:r>
          </w:p>
          <w:p w:rsidR="005713E7" w:rsidRPr="00BA2A5E" w:rsidRDefault="005713E7" w:rsidP="00BA2A5E">
            <w:pPr>
              <w:ind w:left="459" w:hanging="425"/>
              <w:rPr>
                <w:sz w:val="22"/>
                <w:szCs w:val="22"/>
              </w:rPr>
            </w:pPr>
            <w:r w:rsidRPr="00BA2A5E">
              <w:rPr>
                <w:sz w:val="22"/>
                <w:szCs w:val="22"/>
              </w:rPr>
              <w:t>Konta nr.LV77UNLA0001008469716</w:t>
            </w:r>
          </w:p>
          <w:p w:rsidR="005713E7" w:rsidRPr="00BA2A5E" w:rsidRDefault="005713E7" w:rsidP="00BA2A5E">
            <w:pPr>
              <w:ind w:left="459" w:hanging="425"/>
              <w:rPr>
                <w:sz w:val="22"/>
                <w:szCs w:val="22"/>
              </w:rPr>
            </w:pPr>
            <w:r w:rsidRPr="00BA2A5E">
              <w:rPr>
                <w:sz w:val="22"/>
                <w:szCs w:val="22"/>
              </w:rPr>
              <w:t>SEB banka, kods: UNLALV2X</w:t>
            </w:r>
          </w:p>
        </w:tc>
      </w:tr>
      <w:tr w:rsidR="005713E7" w:rsidRPr="00BA2A5E" w:rsidTr="005713E7">
        <w:trPr>
          <w:gridBefore w:val="1"/>
          <w:wBefore w:w="108" w:type="dxa"/>
        </w:trPr>
        <w:tc>
          <w:tcPr>
            <w:tcW w:w="5070" w:type="dxa"/>
            <w:gridSpan w:val="2"/>
          </w:tcPr>
          <w:p w:rsidR="005713E7" w:rsidRPr="00BA2A5E" w:rsidRDefault="005713E7" w:rsidP="005713E7">
            <w:pPr>
              <w:spacing w:before="60" w:after="60"/>
              <w:ind w:left="459" w:hanging="425"/>
              <w:rPr>
                <w:sz w:val="22"/>
                <w:szCs w:val="22"/>
              </w:rPr>
            </w:pPr>
          </w:p>
          <w:p w:rsidR="005713E7" w:rsidRPr="00BA2A5E" w:rsidRDefault="005713E7" w:rsidP="005713E7">
            <w:pPr>
              <w:spacing w:before="60" w:after="60"/>
              <w:ind w:left="459" w:hanging="425"/>
              <w:rPr>
                <w:sz w:val="22"/>
                <w:szCs w:val="22"/>
              </w:rPr>
            </w:pPr>
            <w:r w:rsidRPr="00BA2A5E">
              <w:rPr>
                <w:sz w:val="22"/>
                <w:szCs w:val="22"/>
              </w:rPr>
              <w:t>Daugavpils pilsētas domes izpilddirektore</w:t>
            </w:r>
          </w:p>
        </w:tc>
        <w:tc>
          <w:tcPr>
            <w:tcW w:w="4252" w:type="dxa"/>
            <w:gridSpan w:val="2"/>
          </w:tcPr>
          <w:p w:rsidR="005713E7" w:rsidRPr="00BA2A5E" w:rsidRDefault="005713E7" w:rsidP="00BA2A5E">
            <w:pPr>
              <w:pStyle w:val="BodyText"/>
              <w:tabs>
                <w:tab w:val="right" w:leader="dot" w:pos="4626"/>
              </w:tabs>
              <w:spacing w:before="60" w:after="60"/>
              <w:ind w:left="459" w:hanging="425"/>
              <w:jc w:val="left"/>
              <w:rPr>
                <w:sz w:val="22"/>
                <w:szCs w:val="22"/>
              </w:rPr>
            </w:pPr>
          </w:p>
          <w:p w:rsidR="005713E7" w:rsidRPr="00BA2A5E" w:rsidRDefault="005713E7" w:rsidP="00BA2A5E">
            <w:pPr>
              <w:pStyle w:val="BodyText"/>
              <w:tabs>
                <w:tab w:val="right" w:leader="dot" w:pos="4626"/>
              </w:tabs>
              <w:spacing w:before="60" w:after="60"/>
              <w:ind w:left="459" w:hanging="425"/>
              <w:jc w:val="left"/>
              <w:rPr>
                <w:sz w:val="22"/>
                <w:szCs w:val="22"/>
              </w:rPr>
            </w:pPr>
            <w:r w:rsidRPr="00BA2A5E">
              <w:rPr>
                <w:sz w:val="22"/>
                <w:szCs w:val="22"/>
              </w:rPr>
              <w:t>SIA “ZZ Dats” valdes loceklis</w:t>
            </w:r>
          </w:p>
        </w:tc>
      </w:tr>
      <w:tr w:rsidR="005713E7" w:rsidRPr="00BA2A5E" w:rsidTr="005713E7">
        <w:trPr>
          <w:gridBefore w:val="1"/>
          <w:wBefore w:w="108" w:type="dxa"/>
        </w:trPr>
        <w:tc>
          <w:tcPr>
            <w:tcW w:w="5070" w:type="dxa"/>
            <w:gridSpan w:val="2"/>
          </w:tcPr>
          <w:p w:rsidR="005713E7" w:rsidRPr="00BA2A5E" w:rsidRDefault="005713E7" w:rsidP="005713E7">
            <w:pPr>
              <w:spacing w:before="60" w:after="60"/>
              <w:ind w:left="459" w:hanging="425"/>
              <w:rPr>
                <w:sz w:val="22"/>
                <w:szCs w:val="22"/>
              </w:rPr>
            </w:pPr>
          </w:p>
          <w:p w:rsidR="005713E7" w:rsidRPr="00BA2A5E" w:rsidRDefault="005713E7" w:rsidP="005713E7">
            <w:pPr>
              <w:spacing w:before="60" w:after="60"/>
              <w:ind w:left="459" w:hanging="425"/>
              <w:rPr>
                <w:sz w:val="22"/>
                <w:szCs w:val="22"/>
              </w:rPr>
            </w:pPr>
            <w:r w:rsidRPr="00BA2A5E">
              <w:rPr>
                <w:sz w:val="22"/>
                <w:szCs w:val="22"/>
              </w:rPr>
              <w:t>__________________________I.Goldberga</w:t>
            </w:r>
          </w:p>
        </w:tc>
        <w:tc>
          <w:tcPr>
            <w:tcW w:w="4252" w:type="dxa"/>
            <w:gridSpan w:val="2"/>
          </w:tcPr>
          <w:p w:rsidR="005713E7" w:rsidRPr="00BA2A5E" w:rsidRDefault="005713E7" w:rsidP="005713E7">
            <w:pPr>
              <w:pStyle w:val="BodyText"/>
              <w:tabs>
                <w:tab w:val="right" w:leader="dot" w:pos="4287"/>
              </w:tabs>
              <w:spacing w:before="60" w:after="60"/>
              <w:ind w:left="459" w:hanging="425"/>
              <w:jc w:val="right"/>
              <w:rPr>
                <w:sz w:val="22"/>
                <w:szCs w:val="22"/>
              </w:rPr>
            </w:pPr>
          </w:p>
          <w:p w:rsidR="005713E7" w:rsidRPr="00BA2A5E" w:rsidRDefault="00BA2A5E" w:rsidP="00BA2A5E">
            <w:pPr>
              <w:pStyle w:val="BodyText"/>
              <w:tabs>
                <w:tab w:val="right" w:leader="dot" w:pos="4287"/>
              </w:tabs>
              <w:spacing w:before="60" w:after="60"/>
              <w:ind w:hanging="425"/>
              <w:jc w:val="center"/>
              <w:rPr>
                <w:sz w:val="22"/>
                <w:szCs w:val="22"/>
              </w:rPr>
            </w:pPr>
            <w:r>
              <w:rPr>
                <w:sz w:val="22"/>
                <w:szCs w:val="22"/>
              </w:rPr>
              <w:t xml:space="preserve">                 ___</w:t>
            </w:r>
            <w:r w:rsidR="005713E7" w:rsidRPr="00BA2A5E">
              <w:rPr>
                <w:sz w:val="22"/>
                <w:szCs w:val="22"/>
              </w:rPr>
              <w:t>____</w:t>
            </w:r>
            <w:r>
              <w:rPr>
                <w:sz w:val="22"/>
                <w:szCs w:val="22"/>
              </w:rPr>
              <w:t>____________</w:t>
            </w:r>
            <w:r w:rsidR="005713E7" w:rsidRPr="00BA2A5E">
              <w:rPr>
                <w:sz w:val="22"/>
                <w:szCs w:val="22"/>
              </w:rPr>
              <w:t>_____M. Ziema</w:t>
            </w:r>
          </w:p>
        </w:tc>
      </w:tr>
      <w:tr w:rsidR="005713E7" w:rsidRPr="00BA2A5E" w:rsidTr="005713E7">
        <w:trPr>
          <w:gridAfter w:val="1"/>
          <w:wAfter w:w="926" w:type="dxa"/>
        </w:trPr>
        <w:tc>
          <w:tcPr>
            <w:tcW w:w="4252" w:type="dxa"/>
            <w:gridSpan w:val="2"/>
          </w:tcPr>
          <w:p w:rsidR="005713E7" w:rsidRPr="00BA2A5E" w:rsidRDefault="005713E7" w:rsidP="005713E7">
            <w:pPr>
              <w:tabs>
                <w:tab w:val="right" w:leader="dot" w:pos="4287"/>
              </w:tabs>
              <w:spacing w:before="60" w:after="60"/>
              <w:ind w:left="459" w:hanging="459"/>
              <w:jc w:val="right"/>
              <w:rPr>
                <w:sz w:val="22"/>
                <w:szCs w:val="22"/>
                <w:lang w:eastAsia="en-US"/>
              </w:rPr>
            </w:pPr>
          </w:p>
        </w:tc>
        <w:tc>
          <w:tcPr>
            <w:tcW w:w="4252" w:type="dxa"/>
            <w:gridSpan w:val="2"/>
          </w:tcPr>
          <w:p w:rsidR="005713E7" w:rsidRPr="00BA2A5E" w:rsidRDefault="005713E7" w:rsidP="005713E7">
            <w:pPr>
              <w:pStyle w:val="BodyText"/>
              <w:tabs>
                <w:tab w:val="right" w:leader="dot" w:pos="4287"/>
              </w:tabs>
              <w:spacing w:before="60" w:after="60"/>
              <w:ind w:left="459" w:hanging="459"/>
              <w:jc w:val="right"/>
              <w:rPr>
                <w:sz w:val="22"/>
                <w:szCs w:val="22"/>
              </w:rPr>
            </w:pPr>
          </w:p>
        </w:tc>
      </w:tr>
    </w:tbl>
    <w:p w:rsidR="008B46F7" w:rsidRPr="00BA2A5E" w:rsidRDefault="008B46F7">
      <w:pPr>
        <w:rPr>
          <w:sz w:val="22"/>
          <w:szCs w:val="22"/>
        </w:rPr>
      </w:pPr>
    </w:p>
    <w:sectPr w:rsidR="008B46F7" w:rsidRPr="00BA2A5E" w:rsidSect="00BA2A5E">
      <w:footerReference w:type="defaul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A5E" w:rsidRDefault="00BA2A5E" w:rsidP="00BA2A5E">
      <w:r>
        <w:separator/>
      </w:r>
    </w:p>
  </w:endnote>
  <w:endnote w:type="continuationSeparator" w:id="0">
    <w:p w:rsidR="00BA2A5E" w:rsidRDefault="00BA2A5E" w:rsidP="00BA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158284"/>
      <w:docPartObj>
        <w:docPartGallery w:val="Page Numbers (Bottom of Page)"/>
        <w:docPartUnique/>
      </w:docPartObj>
    </w:sdtPr>
    <w:sdtEndPr>
      <w:rPr>
        <w:noProof/>
      </w:rPr>
    </w:sdtEndPr>
    <w:sdtContent>
      <w:p w:rsidR="00BA2A5E" w:rsidRDefault="00BA2A5E">
        <w:pPr>
          <w:pStyle w:val="Footer"/>
          <w:jc w:val="center"/>
        </w:pPr>
        <w:r>
          <w:fldChar w:fldCharType="begin"/>
        </w:r>
        <w:r>
          <w:instrText xml:space="preserve"> PAGE   \* MERGEFORMAT </w:instrText>
        </w:r>
        <w:r>
          <w:fldChar w:fldCharType="separate"/>
        </w:r>
        <w:r w:rsidR="00905875">
          <w:rPr>
            <w:noProof/>
          </w:rPr>
          <w:t>3</w:t>
        </w:r>
        <w:r>
          <w:rPr>
            <w:noProof/>
          </w:rPr>
          <w:fldChar w:fldCharType="end"/>
        </w:r>
      </w:p>
    </w:sdtContent>
  </w:sdt>
  <w:p w:rsidR="00BA2A5E" w:rsidRDefault="00BA2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A5E" w:rsidRDefault="00BA2A5E" w:rsidP="00BA2A5E">
      <w:r>
        <w:separator/>
      </w:r>
    </w:p>
  </w:footnote>
  <w:footnote w:type="continuationSeparator" w:id="0">
    <w:p w:rsidR="00BA2A5E" w:rsidRDefault="00BA2A5E" w:rsidP="00BA2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E1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B1"/>
    <w:rsid w:val="001C4352"/>
    <w:rsid w:val="00287266"/>
    <w:rsid w:val="003D10F8"/>
    <w:rsid w:val="00454FAA"/>
    <w:rsid w:val="005400AB"/>
    <w:rsid w:val="005713E7"/>
    <w:rsid w:val="008B46F7"/>
    <w:rsid w:val="00905875"/>
    <w:rsid w:val="00924795"/>
    <w:rsid w:val="00B85DB1"/>
    <w:rsid w:val="00BA2A5E"/>
    <w:rsid w:val="00C57EE7"/>
    <w:rsid w:val="00E11CD8"/>
    <w:rsid w:val="00EC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5:chartTrackingRefBased/>
  <w15:docId w15:val="{0E709611-FB77-4BCD-9FAF-B5470394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DB1"/>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basedOn w:val="Normal"/>
    <w:next w:val="Normal"/>
    <w:link w:val="Heading1Char"/>
    <w:qFormat/>
    <w:rsid w:val="00B85DB1"/>
    <w:pPr>
      <w:keepNext/>
      <w:numPr>
        <w:numId w:val="1"/>
      </w:numPr>
      <w:tabs>
        <w:tab w:val="clear" w:pos="360"/>
        <w:tab w:val="num" w:pos="0"/>
      </w:tabs>
      <w:overflowPunct w:val="0"/>
      <w:autoSpaceDE w:val="0"/>
      <w:ind w:left="0" w:firstLine="0"/>
      <w:jc w:val="center"/>
      <w:textAlignment w:val="baseline"/>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DB1"/>
    <w:rPr>
      <w:rFonts w:ascii="Times New Roman" w:eastAsia="Times New Roman" w:hAnsi="Times New Roman" w:cs="Times New Roman"/>
      <w:sz w:val="24"/>
      <w:szCs w:val="20"/>
      <w:lang w:val="lv-LV" w:eastAsia="ar-SA"/>
    </w:rPr>
  </w:style>
  <w:style w:type="character" w:styleId="Hyperlink">
    <w:name w:val="Hyperlink"/>
    <w:rsid w:val="00B85DB1"/>
    <w:rPr>
      <w:color w:val="0000FF"/>
      <w:u w:val="single"/>
    </w:rPr>
  </w:style>
  <w:style w:type="paragraph" w:styleId="BodyText">
    <w:name w:val="Body Text"/>
    <w:aliases w:val="Body Text1"/>
    <w:basedOn w:val="Normal"/>
    <w:link w:val="BodyTextChar"/>
    <w:rsid w:val="00B85DB1"/>
    <w:pPr>
      <w:overflowPunct w:val="0"/>
      <w:autoSpaceDE w:val="0"/>
      <w:jc w:val="both"/>
      <w:textAlignment w:val="baseline"/>
    </w:pPr>
    <w:rPr>
      <w:szCs w:val="20"/>
    </w:rPr>
  </w:style>
  <w:style w:type="character" w:customStyle="1" w:styleId="BodyTextChar">
    <w:name w:val="Body Text Char"/>
    <w:aliases w:val="Body Text1 Char"/>
    <w:basedOn w:val="DefaultParagraphFont"/>
    <w:link w:val="BodyText"/>
    <w:rsid w:val="00B85DB1"/>
    <w:rPr>
      <w:rFonts w:ascii="Times New Roman" w:eastAsia="Times New Roman" w:hAnsi="Times New Roman" w:cs="Times New Roman"/>
      <w:sz w:val="24"/>
      <w:szCs w:val="20"/>
      <w:lang w:val="lv-LV" w:eastAsia="ar-SA"/>
    </w:rPr>
  </w:style>
  <w:style w:type="paragraph" w:styleId="Header">
    <w:name w:val="header"/>
    <w:basedOn w:val="Normal"/>
    <w:link w:val="HeaderChar"/>
    <w:rsid w:val="00B85DB1"/>
    <w:pPr>
      <w:tabs>
        <w:tab w:val="center" w:pos="4153"/>
        <w:tab w:val="right" w:pos="8306"/>
      </w:tabs>
    </w:pPr>
  </w:style>
  <w:style w:type="character" w:customStyle="1" w:styleId="HeaderChar">
    <w:name w:val="Header Char"/>
    <w:basedOn w:val="DefaultParagraphFont"/>
    <w:link w:val="Header"/>
    <w:rsid w:val="00B85DB1"/>
    <w:rPr>
      <w:rFonts w:ascii="Times New Roman" w:eastAsia="Times New Roman" w:hAnsi="Times New Roman" w:cs="Times New Roman"/>
      <w:sz w:val="24"/>
      <w:szCs w:val="24"/>
      <w:lang w:val="lv-LV" w:eastAsia="ar-SA"/>
    </w:rPr>
  </w:style>
  <w:style w:type="paragraph" w:styleId="BodyText2">
    <w:name w:val="Body Text 2"/>
    <w:basedOn w:val="Normal"/>
    <w:link w:val="BodyText2Char"/>
    <w:rsid w:val="00B85DB1"/>
    <w:pPr>
      <w:widowControl w:val="0"/>
      <w:tabs>
        <w:tab w:val="left" w:pos="1080"/>
      </w:tabs>
      <w:autoSpaceDE w:val="0"/>
      <w:autoSpaceDN w:val="0"/>
      <w:adjustRightInd w:val="0"/>
      <w:jc w:val="both"/>
    </w:pPr>
    <w:rPr>
      <w:sz w:val="23"/>
    </w:rPr>
  </w:style>
  <w:style w:type="character" w:customStyle="1" w:styleId="BodyText2Char">
    <w:name w:val="Body Text 2 Char"/>
    <w:basedOn w:val="DefaultParagraphFont"/>
    <w:link w:val="BodyText2"/>
    <w:rsid w:val="00B85DB1"/>
    <w:rPr>
      <w:rFonts w:ascii="Times New Roman" w:eastAsia="Times New Roman" w:hAnsi="Times New Roman" w:cs="Times New Roman"/>
      <w:sz w:val="23"/>
      <w:szCs w:val="24"/>
      <w:lang w:val="lv-LV" w:eastAsia="ar-SA"/>
    </w:rPr>
  </w:style>
  <w:style w:type="paragraph" w:customStyle="1" w:styleId="Picture">
    <w:name w:val="Picture"/>
    <w:basedOn w:val="Normal"/>
    <w:rsid w:val="00B85DB1"/>
    <w:pPr>
      <w:keepNext/>
      <w:widowControl w:val="0"/>
      <w:suppressAutoHyphens w:val="0"/>
      <w:overflowPunct w:val="0"/>
      <w:autoSpaceDE w:val="0"/>
      <w:autoSpaceDN w:val="0"/>
      <w:adjustRightInd w:val="0"/>
      <w:jc w:val="center"/>
      <w:textAlignment w:val="baseline"/>
    </w:pPr>
    <w:rPr>
      <w:sz w:val="23"/>
      <w:szCs w:val="20"/>
      <w:lang w:val="en-US" w:eastAsia="en-US"/>
    </w:rPr>
  </w:style>
  <w:style w:type="paragraph" w:customStyle="1" w:styleId="RakstzRakstz2">
    <w:name w:val="Rakstz. Rakstz.2"/>
    <w:basedOn w:val="Normal"/>
    <w:next w:val="BlockText"/>
    <w:rsid w:val="00B85DB1"/>
    <w:pPr>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B85DB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Footer">
    <w:name w:val="footer"/>
    <w:basedOn w:val="Normal"/>
    <w:link w:val="FooterChar"/>
    <w:uiPriority w:val="99"/>
    <w:unhideWhenUsed/>
    <w:rsid w:val="00BA2A5E"/>
    <w:pPr>
      <w:tabs>
        <w:tab w:val="center" w:pos="4680"/>
        <w:tab w:val="right" w:pos="9360"/>
      </w:tabs>
    </w:pPr>
  </w:style>
  <w:style w:type="character" w:customStyle="1" w:styleId="FooterChar">
    <w:name w:val="Footer Char"/>
    <w:basedOn w:val="DefaultParagraphFont"/>
    <w:link w:val="Footer"/>
    <w:uiPriority w:val="99"/>
    <w:rsid w:val="00BA2A5E"/>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454F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FAA"/>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13" Type="http://schemas.openxmlformats.org/officeDocument/2006/relationships/hyperlink" Target="mailto:info@daugavpil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svaris.lv" TargetMode="External"/><Relationship Id="rId12" Type="http://schemas.openxmlformats.org/officeDocument/2006/relationships/hyperlink" Target="mailto:zzdats@zzdat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zimts@zzdats.lv" TargetMode="External"/><Relationship Id="rId5" Type="http://schemas.openxmlformats.org/officeDocument/2006/relationships/footnotes" Target="footnotes.xml"/><Relationship Id="rId15" Type="http://schemas.openxmlformats.org/officeDocument/2006/relationships/hyperlink" Target="mailto:edzus.zeiris@zzdats.lv" TargetMode="External"/><Relationship Id="rId10" Type="http://schemas.openxmlformats.org/officeDocument/2006/relationships/hyperlink" Target="mailto:pers@zzdats.lv" TargetMode="External"/><Relationship Id="rId4" Type="http://schemas.openxmlformats.org/officeDocument/2006/relationships/webSettings" Target="webSettings.xml"/><Relationship Id="rId9" Type="http://schemas.openxmlformats.org/officeDocument/2006/relationships/hyperlink" Target="mailto:nino@zzdats.lv" TargetMode="External"/><Relationship Id="rId14" Type="http://schemas.openxmlformats.org/officeDocument/2006/relationships/hyperlink" Target="mailto:andrejs.sapoval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13</cp:revision>
  <cp:lastPrinted>2015-03-20T12:10:00Z</cp:lastPrinted>
  <dcterms:created xsi:type="dcterms:W3CDTF">2015-03-20T11:59:00Z</dcterms:created>
  <dcterms:modified xsi:type="dcterms:W3CDTF">2015-03-20T12:16:00Z</dcterms:modified>
</cp:coreProperties>
</file>